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E5F0">
      <w:pPr>
        <w:pStyle w:val="5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南昌大学抚州医学院</w:t>
      </w:r>
      <w:r>
        <w:rPr>
          <w:rFonts w:hint="eastAsia"/>
        </w:rPr>
        <w:t>教学多媒体设备维保服务</w:t>
      </w:r>
      <w:r>
        <w:rPr>
          <w:rFonts w:hint="eastAsia"/>
          <w:lang w:val="en-US" w:eastAsia="zh-CN"/>
        </w:rPr>
        <w:t>项目方案征集</w:t>
      </w:r>
    </w:p>
    <w:p w14:paraId="1BD1E95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保障我校（我院）教学工作的顺利进行，确保教学多媒体设备的稳定、高效运行，现面向社会公开征集教学多媒体设备维保服务方案。欢迎有实力、有经验的供应商积极参与，提交科学、合理、可行的维保服务方案。</w:t>
      </w:r>
    </w:p>
    <w:p w14:paraId="109924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维保设备概况：</w:t>
      </w:r>
    </w:p>
    <w:p w14:paraId="455BF1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本次涉及维保的教学多媒体设备主要分布于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南昌大学抚州医学院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第一教学大楼和第二教学大楼的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多媒体教室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及管控中心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4C8D695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设备主要类型包括但不限于：投影机、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一体机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、中央控制系统、功放、音响、话筒、计算机等。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设备清单在本文档后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56618F9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维保服务期限：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计划为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年，自合同签订之日起计算。</w:t>
      </w:r>
    </w:p>
    <w:p w14:paraId="1213D15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二、征集内容与要求</w:t>
      </w:r>
    </w:p>
    <w:p w14:paraId="0E14115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本次征集的核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心是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维保服务方案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，旨在评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估供应商的服务能力、技术水平和方案优劣。方案应至少包含以下内容：</w:t>
      </w:r>
    </w:p>
    <w:p w14:paraId="7FF548D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服务模式建议：</w:t>
      </w:r>
    </w:p>
    <w:p w14:paraId="5235E49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提供针对本项目特点的维保服务模式建议（如：全包服务、半包服务、按次服务等）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104E98D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服务响应与承诺：</w:t>
      </w:r>
    </w:p>
    <w:p w14:paraId="2BC627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提供7x24小时服务热线，并承诺具体的现场响应时间（如：接到报修电话后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分钟内响应，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小时内到达现场）。</w:t>
      </w:r>
    </w:p>
    <w:p w14:paraId="61CD26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提供故障修复时间承诺（如：一般故障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小时内解决）。</w:t>
      </w:r>
    </w:p>
    <w:p w14:paraId="1D643A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提供备机备件策略，确保紧急情况下教学的连续性。</w:t>
      </w:r>
    </w:p>
    <w:p w14:paraId="2CC623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预防性维护计划：</w:t>
      </w:r>
    </w:p>
    <w:p w14:paraId="3CA336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提供详细的年度/季度预防性维护计划，包括巡检频率、巡检内容（如：设备清洁、性能检测、系统优化等）和标准。</w:t>
      </w:r>
    </w:p>
    <w:p w14:paraId="6B1B386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耗材与备件管理：</w:t>
      </w:r>
    </w:p>
    <w:p w14:paraId="3D9B770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说明常用耗材和备件的供应渠道、品牌、价格及更换标准。</w:t>
      </w:r>
    </w:p>
    <w:p w14:paraId="5E20C2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技术支持团队：</w:t>
      </w:r>
    </w:p>
    <w:p w14:paraId="2FCA9C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介绍为本项目配备的技术团队架构、人员数量、资质认证情况及管理模式。</w:t>
      </w:r>
    </w:p>
    <w:p w14:paraId="27C509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应急处理预案：</w:t>
      </w:r>
    </w:p>
    <w:p w14:paraId="5F94B8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针对重大活动、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紧急故障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等，提供专门的应急保障预案。</w:t>
      </w:r>
    </w:p>
    <w:p w14:paraId="7725CED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增值服务建议：</w:t>
      </w:r>
    </w:p>
    <w:p w14:paraId="347CA2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可提供如对教师进行设备使用培训、设备使用情况分析报告等增值服务。</w:t>
      </w:r>
    </w:p>
    <w:p w14:paraId="66B9C12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Style w:val="12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报价参考：</w:t>
      </w:r>
    </w:p>
    <w:p w14:paraId="0A27A2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请根据您提出的服务方案，提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供一个大致的服务费用估算或报价模式（如：按每间教室每年计费，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安或按设备总量，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或按设备总价百分比计费等）。此报价仅作方案评估参考，不作为最终承诺。</w:t>
      </w:r>
    </w:p>
    <w:p w14:paraId="2F4C0B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B9F8E9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9A1D9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B7834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ADBA4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C9809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BD021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85457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528F0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39FD2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23C77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55282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50A8CE2"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附：设备清单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62"/>
        <w:gridCol w:w="2145"/>
        <w:gridCol w:w="2022"/>
        <w:gridCol w:w="2333"/>
        <w:gridCol w:w="462"/>
        <w:gridCol w:w="506"/>
        <w:gridCol w:w="462"/>
        <w:gridCol w:w="947"/>
        <w:gridCol w:w="1255"/>
      </w:tblGrid>
      <w:tr w14:paraId="7C61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50E5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48E19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5B5F8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0" w:type="auto"/>
            <w:vAlign w:val="center"/>
          </w:tcPr>
          <w:p w14:paraId="4681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457B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产地</w:t>
            </w:r>
          </w:p>
        </w:tc>
        <w:tc>
          <w:tcPr>
            <w:tcW w:w="0" w:type="auto"/>
            <w:vAlign w:val="center"/>
          </w:tcPr>
          <w:p w14:paraId="2552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19EE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3358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投入时间</w:t>
            </w:r>
          </w:p>
        </w:tc>
        <w:tc>
          <w:tcPr>
            <w:tcW w:w="0" w:type="auto"/>
            <w:vAlign w:val="center"/>
          </w:tcPr>
          <w:p w14:paraId="77BB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</w:tr>
      <w:tr w14:paraId="4BF4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C77F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CF0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校园网基础平台软件</w:t>
            </w:r>
          </w:p>
        </w:tc>
        <w:tc>
          <w:tcPr>
            <w:tcW w:w="0" w:type="auto"/>
            <w:vAlign w:val="center"/>
          </w:tcPr>
          <w:p w14:paraId="6ABD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浙江蓝鸽科技有限公司</w:t>
            </w:r>
          </w:p>
        </w:tc>
        <w:tc>
          <w:tcPr>
            <w:tcW w:w="0" w:type="auto"/>
            <w:vAlign w:val="center"/>
          </w:tcPr>
          <w:p w14:paraId="02A2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XG5.2</w:t>
            </w:r>
          </w:p>
        </w:tc>
        <w:tc>
          <w:tcPr>
            <w:tcW w:w="0" w:type="auto"/>
            <w:vAlign w:val="center"/>
          </w:tcPr>
          <w:p w14:paraId="1EA7B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浙江</w:t>
            </w:r>
          </w:p>
        </w:tc>
        <w:tc>
          <w:tcPr>
            <w:tcW w:w="0" w:type="auto"/>
            <w:vAlign w:val="center"/>
          </w:tcPr>
          <w:p w14:paraId="10ABC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BE7E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27CA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vAlign w:val="center"/>
          </w:tcPr>
          <w:p w14:paraId="124AC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6353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D34B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F852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校园巡视软件</w:t>
            </w:r>
          </w:p>
        </w:tc>
        <w:tc>
          <w:tcPr>
            <w:tcW w:w="0" w:type="auto"/>
            <w:vAlign w:val="center"/>
          </w:tcPr>
          <w:p w14:paraId="2AAF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浙江蓝鸽科技有限公司</w:t>
            </w:r>
          </w:p>
        </w:tc>
        <w:tc>
          <w:tcPr>
            <w:tcW w:w="0" w:type="auto"/>
            <w:vAlign w:val="center"/>
          </w:tcPr>
          <w:p w14:paraId="0A05A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XX5.0a</w:t>
            </w:r>
          </w:p>
        </w:tc>
        <w:tc>
          <w:tcPr>
            <w:tcW w:w="0" w:type="auto"/>
            <w:vAlign w:val="center"/>
          </w:tcPr>
          <w:p w14:paraId="4FBC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浙江</w:t>
            </w:r>
          </w:p>
        </w:tc>
        <w:tc>
          <w:tcPr>
            <w:tcW w:w="0" w:type="auto"/>
            <w:vAlign w:val="center"/>
          </w:tcPr>
          <w:p w14:paraId="2A6F2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FA2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33BA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vAlign w:val="center"/>
          </w:tcPr>
          <w:p w14:paraId="3FEC9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37F6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4AA3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2E637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LED大屏</w:t>
            </w:r>
          </w:p>
        </w:tc>
        <w:tc>
          <w:tcPr>
            <w:tcW w:w="0" w:type="auto"/>
            <w:vAlign w:val="center"/>
          </w:tcPr>
          <w:p w14:paraId="76CC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厦门强力巨彩光电科技有限公司</w:t>
            </w:r>
          </w:p>
        </w:tc>
        <w:tc>
          <w:tcPr>
            <w:tcW w:w="0" w:type="auto"/>
            <w:vAlign w:val="center"/>
          </w:tcPr>
          <w:p w14:paraId="2C024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Q1.86P</w:t>
            </w:r>
          </w:p>
        </w:tc>
        <w:tc>
          <w:tcPr>
            <w:tcW w:w="0" w:type="auto"/>
            <w:vAlign w:val="center"/>
          </w:tcPr>
          <w:p w14:paraId="51D4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厦门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0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53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27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C8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1CC0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002C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0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网络触摸寻呼话筒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CD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广州新悦设备有限公司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5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NM805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DF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广州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0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09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37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89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2CB9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DA95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B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操作管理主机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A1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中国惠普有限公司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62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HP288Pro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G6MT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D7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8B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E8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0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F4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5A0B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7B28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FE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触摸显示器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B0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飞利浦电子公司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26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222B9T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AE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DF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63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18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93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126A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A70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0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交换机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C1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华为技术有限公司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09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S5720S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C5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深圳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15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D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C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0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第二教学楼南201</w:t>
            </w:r>
          </w:p>
        </w:tc>
      </w:tr>
      <w:tr w14:paraId="697F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5631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750DF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智慧中控主机</w:t>
            </w:r>
          </w:p>
        </w:tc>
        <w:tc>
          <w:tcPr>
            <w:tcW w:w="0" w:type="auto"/>
            <w:vAlign w:val="center"/>
          </w:tcPr>
          <w:p w14:paraId="2DA3A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浙江蓝鸽科技有限公司</w:t>
            </w:r>
          </w:p>
        </w:tc>
        <w:tc>
          <w:tcPr>
            <w:tcW w:w="0" w:type="auto"/>
            <w:vAlign w:val="center"/>
          </w:tcPr>
          <w:p w14:paraId="78BC7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LBD518M</w:t>
            </w:r>
          </w:p>
        </w:tc>
        <w:tc>
          <w:tcPr>
            <w:tcW w:w="0" w:type="auto"/>
            <w:vAlign w:val="center"/>
          </w:tcPr>
          <w:p w14:paraId="0328D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浙江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08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93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B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3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270C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7021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7D0BD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超短焦激光投影</w:t>
            </w:r>
          </w:p>
        </w:tc>
        <w:tc>
          <w:tcPr>
            <w:tcW w:w="0" w:type="auto"/>
            <w:vAlign w:val="center"/>
          </w:tcPr>
          <w:p w14:paraId="59E2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青岛海信电器股份有限公司</w:t>
            </w:r>
          </w:p>
        </w:tc>
        <w:tc>
          <w:tcPr>
            <w:tcW w:w="0" w:type="auto"/>
            <w:vAlign w:val="center"/>
          </w:tcPr>
          <w:p w14:paraId="64CB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TDP-LW50</w:t>
            </w:r>
          </w:p>
        </w:tc>
        <w:tc>
          <w:tcPr>
            <w:tcW w:w="0" w:type="auto"/>
            <w:vAlign w:val="center"/>
          </w:tcPr>
          <w:p w14:paraId="6462D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青岛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2C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A2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42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C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3A4C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35B8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14BF1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电子白板</w:t>
            </w:r>
          </w:p>
        </w:tc>
        <w:tc>
          <w:tcPr>
            <w:tcW w:w="0" w:type="auto"/>
            <w:vAlign w:val="center"/>
          </w:tcPr>
          <w:p w14:paraId="601A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锐达互动科技股份有限公司</w:t>
            </w:r>
          </w:p>
        </w:tc>
        <w:tc>
          <w:tcPr>
            <w:tcW w:w="0" w:type="auto"/>
            <w:vAlign w:val="center"/>
          </w:tcPr>
          <w:p w14:paraId="762A5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IRQK120</w:t>
            </w:r>
          </w:p>
        </w:tc>
        <w:tc>
          <w:tcPr>
            <w:tcW w:w="0" w:type="auto"/>
            <w:vAlign w:val="center"/>
          </w:tcPr>
          <w:p w14:paraId="03559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广州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DD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C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09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3E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45F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E31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07EA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摄像头</w:t>
            </w:r>
          </w:p>
        </w:tc>
        <w:tc>
          <w:tcPr>
            <w:tcW w:w="0" w:type="auto"/>
            <w:vAlign w:val="center"/>
          </w:tcPr>
          <w:p w14:paraId="69E7A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浙江大华技术股份有限公司</w:t>
            </w:r>
          </w:p>
        </w:tc>
        <w:tc>
          <w:tcPr>
            <w:tcW w:w="0" w:type="auto"/>
            <w:vAlign w:val="center"/>
          </w:tcPr>
          <w:p w14:paraId="41EB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DH-IPC-HDW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3433</w:t>
            </w:r>
          </w:p>
        </w:tc>
        <w:tc>
          <w:tcPr>
            <w:tcW w:w="0" w:type="auto"/>
            <w:vAlign w:val="center"/>
          </w:tcPr>
          <w:p w14:paraId="0C5E9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6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73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77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0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4C9B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A2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79004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数字红外无线教学扩声系统控制盒</w:t>
            </w:r>
          </w:p>
        </w:tc>
        <w:tc>
          <w:tcPr>
            <w:tcW w:w="0" w:type="auto"/>
            <w:vAlign w:val="center"/>
          </w:tcPr>
          <w:p w14:paraId="23565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台电/深圳台电实业有限公司</w:t>
            </w:r>
          </w:p>
        </w:tc>
        <w:tc>
          <w:tcPr>
            <w:tcW w:w="0" w:type="auto"/>
            <w:vAlign w:val="center"/>
          </w:tcPr>
          <w:p w14:paraId="4502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TES-5600BX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1/30</w:t>
            </w:r>
          </w:p>
        </w:tc>
        <w:tc>
          <w:tcPr>
            <w:tcW w:w="0" w:type="auto"/>
            <w:vAlign w:val="center"/>
          </w:tcPr>
          <w:p w14:paraId="3FCAF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深圳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F5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60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16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A7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5B2A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B24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FF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数字红外无线麦克风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台电/深圳台电实业有限公司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B2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TES-5604NW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30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深圳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6E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20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EC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C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792C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BD17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11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数字红外接收器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13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台电/深圳台电实业有限公司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0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TES-5600RN</w:t>
            </w:r>
          </w:p>
          <w:p w14:paraId="387B0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1/30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D7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深圳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1E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B8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B2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2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44B3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49F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9E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充电底座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5C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台电/深圳台电实业有限公司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8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TES-5600CS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深圳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AF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6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A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C1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52A0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62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14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音箱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75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台电/深圳台电实业有限公司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F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HPA-2240_W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69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深圳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CE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0F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73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AB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7182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0821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2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网络对讲求助终端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B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新悦/广州新悦设备有限公司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5E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NA602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B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广州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F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1F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2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5C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0450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E466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71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鼠键套装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B4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戴尔（中国）有限公司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3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KB216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B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77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F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2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29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36EE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8257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D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RFID读写器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C2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北京友我科技有限公司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9D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YW-605HA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83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1A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CB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D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5B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777E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9BE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C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显示器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戴尔（中国）有限公司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9D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SE2218H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9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D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3D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C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7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7E91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CEC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F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讲台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EC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国产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D4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2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中国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1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5B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41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8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第一、二教学楼</w:t>
            </w:r>
          </w:p>
        </w:tc>
      </w:tr>
      <w:tr w14:paraId="478E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99D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7D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多功能桌面信息插座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8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浙江蓝鸽科技有限</w:t>
            </w: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B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JG01-JG09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6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浙江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E5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2D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D7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2021年9月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A7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  <w:tr w14:paraId="1438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22EA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CD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教学一体机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EF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青岛海信电器股份有限公司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A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86WR30A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D7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青岛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B4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3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2D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2021年9月</w:t>
            </w:r>
          </w:p>
        </w:tc>
        <w:tc>
          <w:tcPr>
            <w:tcW w:w="0" w:type="auto"/>
            <w:vAlign w:val="center"/>
          </w:tcPr>
          <w:p w14:paraId="5732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  <w:tr w14:paraId="247F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34C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0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专业功放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9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迪士普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8A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MP2406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AE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423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0B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E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2022年9月</w:t>
            </w:r>
          </w:p>
        </w:tc>
        <w:tc>
          <w:tcPr>
            <w:tcW w:w="0" w:type="auto"/>
            <w:vAlign w:val="center"/>
          </w:tcPr>
          <w:p w14:paraId="0FBF7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  <w:tr w14:paraId="7707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FE1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10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专业音箱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7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迪士普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2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DSP106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E46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552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0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3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2022年9月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16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  <w:tr w14:paraId="0191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D6FF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1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有线话筒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FB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迪士普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EC200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AC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EE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71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F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2022年9月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E6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  <w:tr w14:paraId="4D01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CB3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8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录像机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1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宇视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5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NVR308-64X-DT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9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FB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D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F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2022年9月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A8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  <w:tr w14:paraId="1140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35BF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C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摄像头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CA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宇视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A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IPC3A3L-IR6-AF40-H-DT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A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CBE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10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1B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2022年9月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B8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lang w:val="en-US" w:eastAsia="zh-CN"/>
              </w:rPr>
              <w:t>第一、二教学楼</w:t>
            </w:r>
          </w:p>
        </w:tc>
      </w:tr>
    </w:tbl>
    <w:p w14:paraId="61CCD51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77C2E"/>
    <w:multiLevelType w:val="singleLevel"/>
    <w:tmpl w:val="99F77C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YjBkYjllMjYxYzk4MjI0MmQxMGE3ZjdkOWYwNzgifQ=="/>
  </w:docVars>
  <w:rsids>
    <w:rsidRoot w:val="53014C03"/>
    <w:rsid w:val="000510EC"/>
    <w:rsid w:val="00125148"/>
    <w:rsid w:val="008676A4"/>
    <w:rsid w:val="00B70896"/>
    <w:rsid w:val="024E68F9"/>
    <w:rsid w:val="0B33679D"/>
    <w:rsid w:val="1CD673CE"/>
    <w:rsid w:val="38105E96"/>
    <w:rsid w:val="39693B31"/>
    <w:rsid w:val="4496320C"/>
    <w:rsid w:val="4E2671A1"/>
    <w:rsid w:val="53014C03"/>
    <w:rsid w:val="5901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Microsoft JhengHei" w:hAnsi="Microsoft JhengHei" w:eastAsia="Microsoft JhengHei" w:cs="Microsoft JhengHei"/>
      <w:sz w:val="24"/>
      <w:szCs w:val="24"/>
      <w:lang w:val="zh-CN" w:bidi="zh-CN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869</Characters>
  <Lines>14</Lines>
  <Paragraphs>4</Paragraphs>
  <TotalTime>908</TotalTime>
  <ScaleCrop>false</ScaleCrop>
  <LinksUpToDate>false</LinksUpToDate>
  <CharactersWithSpaces>870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2024-04-23T01:56:00Z</dcterms:created>
  <dc:creator>WPS_1625102813</dc:creator>
  <cp:lastModifiedBy>浅唱、未来</cp:lastModifiedBy>
  <dcterms:modified xsi:type="dcterms:W3CDTF">2025-11-07T01:49:45Z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6E56F50421E14F3D9C06E1F010ED73AA</vt:lpwstr>
  </property>
  <property fmtid="{D5CDD505-2E9C-101B-9397-08002B2CF9AE}" pid="4" name="KSOTemplateDocerSaveRecord">
    <vt:lpwstr>eyJoZGlkIjoiNDA1YWFiZGZhOTk2ODQwZmVhMjI1MDhkOGNkMmJkODgiLCJ1c2VySWQiOiI0OTQwODQ5NDAifQ==</vt:lpwstr>
  </property>
</Properties>
</file>